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E31" w:rsidRDefault="00672E31" w:rsidP="00672E31">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672E31" w:rsidRDefault="00672E31" w:rsidP="00672E31">
      <w:pPr>
        <w:pStyle w:val="ListParagraph"/>
        <w:tabs>
          <w:tab w:val="left" w:pos="90"/>
        </w:tabs>
        <w:spacing w:before="0" w:after="0" w:line="288" w:lineRule="auto"/>
        <w:ind w:left="0"/>
        <w:contextualSpacing/>
        <w:rPr>
          <w:b/>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b/>
          <w:bCs/>
          <w:color w:val="000000"/>
          <w:szCs w:val="26"/>
          <w:lang w:val="pt-BR"/>
        </w:rPr>
        <w:t>NHẬN THỨC VỀ HÀNG HÓA NGUY HIỂM</w:t>
      </w:r>
      <w:bookmarkEnd w:id="0"/>
    </w:p>
    <w:p w:rsidR="00672E31" w:rsidRDefault="00672E31" w:rsidP="00672E31">
      <w:pPr>
        <w:tabs>
          <w:tab w:val="left" w:pos="90"/>
        </w:tabs>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KTC165</w:t>
      </w:r>
    </w:p>
    <w:p w:rsidR="00672E31" w:rsidRDefault="00672E31" w:rsidP="00672E31">
      <w:pPr>
        <w:tabs>
          <w:tab w:val="left" w:pos="90"/>
        </w:tabs>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45 giờ</w:t>
      </w:r>
      <w:r>
        <w:rPr>
          <w:rFonts w:eastAsia="Times New Roman"/>
          <w:bCs/>
          <w:color w:val="000000"/>
          <w:szCs w:val="26"/>
          <w:lang w:val="pt-BR"/>
        </w:rPr>
        <w:t>; (Lý thuyết: 13 giờ; Thực hành, thí nghiệm, thảo luận, bài tập: 30 giờ; Kiểm tra: 2 giờ)</w:t>
      </w:r>
    </w:p>
    <w:p w:rsidR="00672E31" w:rsidRDefault="00672E31" w:rsidP="00672E31">
      <w:pPr>
        <w:tabs>
          <w:tab w:val="left" w:pos="90"/>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672E31" w:rsidRDefault="00672E31" w:rsidP="00672E31">
      <w:pPr>
        <w:pStyle w:val="s2"/>
        <w:numPr>
          <w:ilvl w:val="0"/>
          <w:numId w:val="0"/>
        </w:numPr>
        <w:tabs>
          <w:tab w:val="clear" w:pos="709"/>
          <w:tab w:val="left" w:pos="90"/>
        </w:tabs>
        <w:spacing w:line="288" w:lineRule="auto"/>
        <w:rPr>
          <w:bCs/>
          <w:color w:val="000000"/>
          <w:sz w:val="26"/>
          <w:szCs w:val="26"/>
        </w:rPr>
      </w:pPr>
      <w:r>
        <w:rPr>
          <w:b/>
          <w:bCs/>
          <w:color w:val="000000"/>
          <w:sz w:val="26"/>
          <w:szCs w:val="26"/>
          <w:lang w:val="pt-BR"/>
        </w:rPr>
        <w:t xml:space="preserve">- </w:t>
      </w:r>
      <w:r>
        <w:rPr>
          <w:b/>
          <w:bCs/>
          <w:color w:val="000000"/>
          <w:sz w:val="26"/>
          <w:szCs w:val="26"/>
        </w:rPr>
        <w:t>Vị trí:</w:t>
      </w:r>
      <w:r>
        <w:rPr>
          <w:bCs/>
          <w:color w:val="000000"/>
          <w:sz w:val="26"/>
          <w:szCs w:val="26"/>
        </w:rPr>
        <w:t xml:space="preserve"> Môn học này được thiết kế học sau môn Kỹ thuật Bao bì – Đóng gói</w:t>
      </w:r>
    </w:p>
    <w:p w:rsidR="00672E31" w:rsidRDefault="00672E31" w:rsidP="00672E31">
      <w:pPr>
        <w:pStyle w:val="st1"/>
        <w:tabs>
          <w:tab w:val="left" w:pos="90"/>
        </w:tabs>
        <w:spacing w:line="288" w:lineRule="auto"/>
        <w:ind w:firstLine="0"/>
        <w:rPr>
          <w:color w:val="000000"/>
          <w:sz w:val="26"/>
          <w:szCs w:val="26"/>
        </w:rPr>
      </w:pPr>
      <w:r>
        <w:rPr>
          <w:b/>
          <w:bCs/>
          <w:color w:val="000000"/>
          <w:sz w:val="26"/>
          <w:szCs w:val="26"/>
          <w:lang w:val="pt-BR"/>
        </w:rPr>
        <w:t>- Tính chất:</w:t>
      </w:r>
      <w:r>
        <w:rPr>
          <w:bCs/>
          <w:color w:val="000000"/>
          <w:sz w:val="26"/>
          <w:szCs w:val="26"/>
          <w:lang w:val="pt-BR"/>
        </w:rPr>
        <w:t xml:space="preserve"> </w:t>
      </w:r>
      <w:r>
        <w:rPr>
          <w:color w:val="000000"/>
          <w:sz w:val="26"/>
          <w:szCs w:val="26"/>
        </w:rPr>
        <w:t>Môn học gồm Quy định vận tải và tồn trữ hàng hóa nguy hiểm đường Hàng không của ICAO/IATA/FIATA (DGR); Quy định về hàng hóa nguy hiểm đường Biển của IMO (IMDG); Quy định về hàng hóa nguy hiểm đường sắt/bộ (ADN); Cách nhận biết, phân loại, bao bì đóng gói, đánh dấu và dán nhãn; Khai báo chính thức.</w:t>
      </w:r>
    </w:p>
    <w:p w:rsidR="00672E31" w:rsidRDefault="00672E31" w:rsidP="00672E31">
      <w:pPr>
        <w:pStyle w:val="st1"/>
        <w:tabs>
          <w:tab w:val="left" w:pos="90"/>
        </w:tabs>
        <w:spacing w:line="288" w:lineRule="auto"/>
        <w:ind w:firstLine="0"/>
        <w:rPr>
          <w:color w:val="000000"/>
          <w:sz w:val="26"/>
          <w:szCs w:val="26"/>
        </w:rPr>
      </w:pPr>
      <w:r>
        <w:rPr>
          <w:b/>
          <w:color w:val="000000"/>
          <w:sz w:val="26"/>
          <w:szCs w:val="26"/>
        </w:rPr>
        <w:t xml:space="preserve">II. </w:t>
      </w:r>
      <w:r>
        <w:rPr>
          <w:b/>
          <w:bCs/>
          <w:color w:val="000000"/>
          <w:sz w:val="26"/>
          <w:szCs w:val="26"/>
          <w:lang w:val="pt-BR"/>
        </w:rPr>
        <w:t>Mục tiêu môn học:</w:t>
      </w:r>
    </w:p>
    <w:p w:rsidR="00672E31" w:rsidRDefault="00672E31" w:rsidP="00672E31">
      <w:pPr>
        <w:pStyle w:val="s2"/>
        <w:numPr>
          <w:ilvl w:val="0"/>
          <w:numId w:val="0"/>
        </w:numPr>
        <w:tabs>
          <w:tab w:val="clear" w:pos="709"/>
          <w:tab w:val="left" w:pos="90"/>
        </w:tabs>
        <w:spacing w:line="288" w:lineRule="auto"/>
        <w:rPr>
          <w:bCs/>
          <w:color w:val="000000"/>
          <w:sz w:val="26"/>
          <w:szCs w:val="26"/>
        </w:rPr>
      </w:pPr>
      <w:r>
        <w:rPr>
          <w:b/>
          <w:bCs/>
          <w:color w:val="000000"/>
          <w:sz w:val="26"/>
          <w:szCs w:val="26"/>
        </w:rPr>
        <w:t xml:space="preserve">- Kiến thức: </w:t>
      </w:r>
      <w:r>
        <w:rPr>
          <w:color w:val="000000"/>
          <w:sz w:val="26"/>
          <w:szCs w:val="26"/>
          <w:lang w:val="pt-BR"/>
        </w:rPr>
        <w:t>Hiểu và nhận biết được các loại hàng Nguy hiểm và các quy định vận chuyển, bảo quản theo các phương thức vận tải khác nhau; cách nhận biết, phân loại, đóng gói, lưu trữ, chứng từ khai báo; cách thức xử lý khi có sự cố</w:t>
      </w:r>
      <w:r>
        <w:rPr>
          <w:color w:val="000000"/>
          <w:sz w:val="26"/>
          <w:szCs w:val="26"/>
        </w:rPr>
        <w:t>.</w:t>
      </w:r>
    </w:p>
    <w:p w:rsidR="00672E31" w:rsidRDefault="00672E31" w:rsidP="00672E31">
      <w:pPr>
        <w:pStyle w:val="s2"/>
        <w:numPr>
          <w:ilvl w:val="0"/>
          <w:numId w:val="0"/>
        </w:numPr>
        <w:tabs>
          <w:tab w:val="clear" w:pos="709"/>
          <w:tab w:val="left" w:pos="90"/>
        </w:tabs>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phân loại, kiểm tra đóng gói, dán nhãn, ký hiệu cảnh báo, khai báo đúng quy định đảm bảo vận chuyển và tồn trữ an toàn; biết cách phòng chống và xử lý khi có sự cố với hàng nguy hiểm.</w:t>
      </w:r>
    </w:p>
    <w:p w:rsidR="00672E31" w:rsidRDefault="00672E31" w:rsidP="00672E31">
      <w:pPr>
        <w:pStyle w:val="s2"/>
        <w:numPr>
          <w:ilvl w:val="0"/>
          <w:numId w:val="0"/>
        </w:numPr>
        <w:tabs>
          <w:tab w:val="left" w:pos="90"/>
        </w:tabs>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Cẩn thận, tỷ mỷ, chính xác, chuyên nghiệp và chắc chắn với tinh thần trách nhiệm cao; Tuân thủ các quy định của pháp luật, nhà vận tải, chủ hàng, quy trình quản lý của công ty</w:t>
      </w:r>
    </w:p>
    <w:p w:rsidR="00672E31" w:rsidRDefault="00672E31" w:rsidP="00672E31">
      <w:pPr>
        <w:pStyle w:val="s2"/>
        <w:numPr>
          <w:ilvl w:val="0"/>
          <w:numId w:val="0"/>
        </w:numPr>
        <w:tabs>
          <w:tab w:val="left" w:pos="90"/>
        </w:tabs>
        <w:spacing w:line="288" w:lineRule="auto"/>
        <w:rPr>
          <w:bCs/>
          <w:color w:val="000000"/>
          <w:sz w:val="26"/>
          <w:szCs w:val="26"/>
        </w:rPr>
      </w:pPr>
      <w:r>
        <w:rPr>
          <w:rFonts w:eastAsia="Times New Roman"/>
          <w:b/>
          <w:bCs/>
          <w:color w:val="000000"/>
          <w:sz w:val="26"/>
          <w:szCs w:val="26"/>
        </w:rPr>
        <w:t xml:space="preserve">III. </w:t>
      </w:r>
      <w:r>
        <w:rPr>
          <w:rFonts w:eastAsia="Times New Roman"/>
          <w:b/>
          <w:bCs/>
          <w:color w:val="000000"/>
          <w:sz w:val="26"/>
          <w:szCs w:val="26"/>
          <w:lang w:val="pt-BR"/>
        </w:rPr>
        <w:t>Nội dung môn học:</w:t>
      </w:r>
    </w:p>
    <w:p w:rsidR="00672E31" w:rsidRDefault="00672E31" w:rsidP="00672E31">
      <w:pPr>
        <w:tabs>
          <w:tab w:val="left" w:pos="90"/>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2E31" w:rsidTr="0043199C">
        <w:trPr>
          <w:trHeight w:val="454"/>
          <w:tblHeader/>
        </w:trPr>
        <w:tc>
          <w:tcPr>
            <w:tcW w:w="621" w:type="dxa"/>
            <w:vMerge w:val="restart"/>
            <w:vAlign w:val="center"/>
          </w:tcPr>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672E31" w:rsidRDefault="00672E31" w:rsidP="0043199C">
            <w:pPr>
              <w:tabs>
                <w:tab w:val="left" w:pos="90"/>
              </w:tabs>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672E31" w:rsidTr="0043199C">
        <w:trPr>
          <w:trHeight w:val="1030"/>
          <w:tblHeader/>
        </w:trPr>
        <w:tc>
          <w:tcPr>
            <w:tcW w:w="621" w:type="dxa"/>
            <w:vMerge/>
          </w:tcPr>
          <w:p w:rsidR="00672E31" w:rsidRDefault="00672E31" w:rsidP="0043199C">
            <w:pPr>
              <w:tabs>
                <w:tab w:val="left" w:pos="90"/>
              </w:tabs>
              <w:spacing w:before="0" w:after="0" w:line="288" w:lineRule="auto"/>
              <w:rPr>
                <w:rFonts w:eastAsia="Times New Roman"/>
                <w:color w:val="000000"/>
                <w:szCs w:val="26"/>
                <w:lang w:val="vi-VN"/>
              </w:rPr>
            </w:pPr>
          </w:p>
        </w:tc>
        <w:tc>
          <w:tcPr>
            <w:tcW w:w="3691" w:type="dxa"/>
            <w:vMerge/>
            <w:vAlign w:val="center"/>
          </w:tcPr>
          <w:p w:rsidR="00672E31" w:rsidRDefault="00672E31" w:rsidP="0043199C">
            <w:pPr>
              <w:tabs>
                <w:tab w:val="left" w:pos="90"/>
              </w:tabs>
              <w:spacing w:before="0" w:after="0" w:line="288" w:lineRule="auto"/>
              <w:rPr>
                <w:rFonts w:eastAsia="Times New Roman"/>
                <w:color w:val="000000"/>
                <w:szCs w:val="26"/>
                <w:lang w:val="vi-VN"/>
              </w:rPr>
            </w:pPr>
          </w:p>
        </w:tc>
        <w:tc>
          <w:tcPr>
            <w:tcW w:w="918" w:type="dxa"/>
            <w:vAlign w:val="center"/>
          </w:tcPr>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Tổng</w:t>
            </w:r>
          </w:p>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672E31" w:rsidRDefault="00672E31" w:rsidP="0043199C">
            <w:pPr>
              <w:tabs>
                <w:tab w:val="left" w:pos="90"/>
              </w:tabs>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t>Kiểm</w:t>
            </w:r>
          </w:p>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t>tra</w:t>
            </w:r>
          </w:p>
        </w:tc>
      </w:tr>
      <w:tr w:rsidR="00672E31" w:rsidTr="0043199C">
        <w:trPr>
          <w:trHeight w:val="454"/>
        </w:trPr>
        <w:tc>
          <w:tcPr>
            <w:tcW w:w="621" w:type="dxa"/>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t>1</w:t>
            </w: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p w:rsidR="00672E31" w:rsidRDefault="00672E31" w:rsidP="0043199C">
            <w:pPr>
              <w:tabs>
                <w:tab w:val="left" w:pos="90"/>
              </w:tabs>
              <w:spacing w:before="0" w:after="0" w:line="288" w:lineRule="auto"/>
              <w:rPr>
                <w:rFonts w:eastAsia="Times New Roman"/>
                <w:color w:val="000000"/>
                <w:szCs w:val="26"/>
              </w:rPr>
            </w:pPr>
          </w:p>
        </w:tc>
        <w:tc>
          <w:tcPr>
            <w:tcW w:w="3691" w:type="dxa"/>
          </w:tcPr>
          <w:p w:rsidR="00672E31" w:rsidRDefault="00672E31" w:rsidP="0043199C">
            <w:pPr>
              <w:pStyle w:val="ListParagraph"/>
              <w:tabs>
                <w:tab w:val="left" w:pos="90"/>
              </w:tabs>
              <w:spacing w:before="0" w:after="0" w:line="288" w:lineRule="auto"/>
              <w:ind w:left="0"/>
              <w:jc w:val="both"/>
              <w:rPr>
                <w:b/>
                <w:color w:val="000000"/>
                <w:szCs w:val="26"/>
              </w:rPr>
            </w:pPr>
            <w:r>
              <w:rPr>
                <w:b/>
                <w:color w:val="000000"/>
                <w:szCs w:val="26"/>
              </w:rPr>
              <w:lastRenderedPageBreak/>
              <w:t xml:space="preserve">Chương 1: Nguyên tắc quản lý hóa chất </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1.1 Xác định tính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1.2 Các điều khoản và định nghĩa cơ bản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1.3 Phân loại cơ bản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1.4 Đường phơi nhiễm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lastRenderedPageBreak/>
              <w:t>1.5 Quan hệ liều lượng – phản ứng</w:t>
            </w:r>
          </w:p>
          <w:p w:rsidR="00672E31" w:rsidRDefault="00672E31" w:rsidP="0043199C">
            <w:pPr>
              <w:pStyle w:val="ListParagraph"/>
              <w:tabs>
                <w:tab w:val="left" w:pos="90"/>
              </w:tabs>
              <w:spacing w:before="0" w:after="0" w:line="288" w:lineRule="auto"/>
              <w:ind w:left="0"/>
              <w:jc w:val="both"/>
              <w:rPr>
                <w:rFonts w:eastAsia="Times New Roman"/>
                <w:color w:val="000000"/>
                <w:szCs w:val="26"/>
              </w:rPr>
            </w:pPr>
            <w:r>
              <w:rPr>
                <w:color w:val="000000"/>
                <w:szCs w:val="26"/>
              </w:rPr>
              <w:t>1.6 Ảnh hưởng của hóa chất tới con người (Nguyên nhân và tác động)</w:t>
            </w:r>
          </w:p>
        </w:tc>
        <w:tc>
          <w:tcPr>
            <w:tcW w:w="918"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lastRenderedPageBreak/>
              <w:t>9</w:t>
            </w:r>
          </w:p>
        </w:tc>
        <w:tc>
          <w:tcPr>
            <w:tcW w:w="979"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72E31" w:rsidRDefault="00672E31" w:rsidP="0043199C">
            <w:pPr>
              <w:tabs>
                <w:tab w:val="left" w:pos="90"/>
              </w:tabs>
              <w:spacing w:before="0" w:after="0" w:line="288" w:lineRule="auto"/>
              <w:jc w:val="center"/>
              <w:rPr>
                <w:rFonts w:eastAsia="Times New Roman"/>
                <w:color w:val="000000"/>
                <w:szCs w:val="26"/>
              </w:rPr>
            </w:pPr>
          </w:p>
        </w:tc>
      </w:tr>
      <w:tr w:rsidR="00672E31" w:rsidTr="0043199C">
        <w:trPr>
          <w:trHeight w:val="454"/>
        </w:trPr>
        <w:tc>
          <w:tcPr>
            <w:tcW w:w="621" w:type="dxa"/>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lastRenderedPageBreak/>
              <w:t>2</w:t>
            </w:r>
          </w:p>
        </w:tc>
        <w:tc>
          <w:tcPr>
            <w:tcW w:w="3691" w:type="dxa"/>
          </w:tcPr>
          <w:p w:rsidR="00672E31" w:rsidRDefault="00672E31" w:rsidP="0043199C">
            <w:pPr>
              <w:pStyle w:val="ListParagraph"/>
              <w:tabs>
                <w:tab w:val="left" w:pos="90"/>
              </w:tabs>
              <w:spacing w:before="0" w:after="0" w:line="288" w:lineRule="auto"/>
              <w:ind w:left="0"/>
              <w:jc w:val="both"/>
              <w:rPr>
                <w:b/>
                <w:color w:val="000000"/>
                <w:szCs w:val="26"/>
              </w:rPr>
            </w:pPr>
            <w:r>
              <w:rPr>
                <w:b/>
                <w:color w:val="000000"/>
                <w:szCs w:val="26"/>
              </w:rPr>
              <w:t xml:space="preserve">Chương 2: Phân loại quốc tề về hàng hóa nguy hiểm(DG) </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2.1 UNTDG –Khuyến cáo về Vận chuyển hàng hóa nguy hiểm của Liên Hợp Quốc (UN)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 xml:space="preserve">2.2 Phân loại quốc tề về hàng hóa nguy hiểm </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2.3 Hệ thống Linkage/ASEAN Protocol 9</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2.4 Phân loại và cảnh báo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2.5 Phân loại hàng nguy hiểm (9 loại)</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2.6 Điều khoản cơ bản trong UNTDG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2.7 Quy cách nhóm đóng gói UN (PG)</w:t>
            </w:r>
          </w:p>
          <w:p w:rsidR="00672E31" w:rsidRDefault="00672E31" w:rsidP="0043199C">
            <w:pPr>
              <w:pStyle w:val="ListParagraph"/>
              <w:tabs>
                <w:tab w:val="left" w:pos="90"/>
              </w:tabs>
              <w:spacing w:before="0" w:after="0" w:line="288" w:lineRule="auto"/>
              <w:ind w:left="0"/>
              <w:jc w:val="both"/>
              <w:rPr>
                <w:b/>
                <w:color w:val="000000"/>
                <w:szCs w:val="26"/>
              </w:rPr>
            </w:pPr>
            <w:r>
              <w:rPr>
                <w:color w:val="000000"/>
                <w:szCs w:val="26"/>
              </w:rPr>
              <w:t>2.8 Số UN và Tên gọi đúng (PSN)</w:t>
            </w:r>
          </w:p>
        </w:tc>
        <w:tc>
          <w:tcPr>
            <w:tcW w:w="918"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72E31" w:rsidRDefault="00672E31" w:rsidP="0043199C">
            <w:pPr>
              <w:tabs>
                <w:tab w:val="left" w:pos="90"/>
              </w:tabs>
              <w:spacing w:before="0" w:after="0" w:line="288" w:lineRule="auto"/>
              <w:jc w:val="center"/>
              <w:rPr>
                <w:rFonts w:eastAsia="Times New Roman"/>
                <w:color w:val="000000"/>
                <w:szCs w:val="26"/>
              </w:rPr>
            </w:pPr>
          </w:p>
        </w:tc>
      </w:tr>
      <w:tr w:rsidR="00672E31" w:rsidTr="0043199C">
        <w:trPr>
          <w:trHeight w:val="454"/>
        </w:trPr>
        <w:tc>
          <w:tcPr>
            <w:tcW w:w="621" w:type="dxa"/>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t>3</w:t>
            </w:r>
          </w:p>
        </w:tc>
        <w:tc>
          <w:tcPr>
            <w:tcW w:w="3691" w:type="dxa"/>
          </w:tcPr>
          <w:p w:rsidR="00672E31" w:rsidRDefault="00672E31" w:rsidP="0043199C">
            <w:pPr>
              <w:pStyle w:val="ListParagraph"/>
              <w:tabs>
                <w:tab w:val="left" w:pos="90"/>
              </w:tabs>
              <w:spacing w:before="0" w:after="0" w:line="288" w:lineRule="auto"/>
              <w:ind w:left="0"/>
              <w:jc w:val="both"/>
              <w:rPr>
                <w:b/>
                <w:color w:val="000000"/>
                <w:szCs w:val="26"/>
              </w:rPr>
            </w:pPr>
            <w:r>
              <w:rPr>
                <w:b/>
                <w:color w:val="000000"/>
                <w:szCs w:val="26"/>
              </w:rPr>
              <w:t xml:space="preserve">Chương 3: Ký hiệu và đóng gói của UN </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3.1 Ký hiệu và đóng gói của UN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3.2 Đóng gói hàng hóa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3.3 Ký mã hiệu và dán nhãn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lastRenderedPageBreak/>
              <w:t>3.4 Lợi thế của việc đóng gói</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3.5 Một số ví dụ</w:t>
            </w:r>
          </w:p>
          <w:p w:rsidR="00672E31" w:rsidRDefault="00672E31" w:rsidP="0043199C">
            <w:pPr>
              <w:pStyle w:val="ListParagraph"/>
              <w:tabs>
                <w:tab w:val="left" w:pos="90"/>
              </w:tabs>
              <w:spacing w:before="0" w:after="0" w:line="288" w:lineRule="auto"/>
              <w:ind w:left="0"/>
              <w:jc w:val="both"/>
              <w:rPr>
                <w:b/>
                <w:color w:val="000000"/>
                <w:szCs w:val="26"/>
              </w:rPr>
            </w:pPr>
            <w:r>
              <w:rPr>
                <w:color w:val="000000"/>
                <w:szCs w:val="26"/>
              </w:rPr>
              <w:t>3.6 Hệ thống phân loại khác (US &amp;EU)</w:t>
            </w:r>
          </w:p>
        </w:tc>
        <w:tc>
          <w:tcPr>
            <w:tcW w:w="918"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lastRenderedPageBreak/>
              <w:t>9</w:t>
            </w:r>
          </w:p>
        </w:tc>
        <w:tc>
          <w:tcPr>
            <w:tcW w:w="979"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1</w:t>
            </w:r>
          </w:p>
        </w:tc>
      </w:tr>
      <w:tr w:rsidR="00672E31" w:rsidTr="0043199C">
        <w:trPr>
          <w:trHeight w:val="454"/>
        </w:trPr>
        <w:tc>
          <w:tcPr>
            <w:tcW w:w="621" w:type="dxa"/>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lastRenderedPageBreak/>
              <w:t>4</w:t>
            </w:r>
          </w:p>
        </w:tc>
        <w:tc>
          <w:tcPr>
            <w:tcW w:w="3691" w:type="dxa"/>
          </w:tcPr>
          <w:p w:rsidR="00672E31" w:rsidRDefault="00672E31" w:rsidP="0043199C">
            <w:pPr>
              <w:pStyle w:val="ListParagraph"/>
              <w:tabs>
                <w:tab w:val="left" w:pos="90"/>
              </w:tabs>
              <w:spacing w:before="0" w:after="0" w:line="288" w:lineRule="auto"/>
              <w:ind w:left="0"/>
              <w:jc w:val="both"/>
              <w:rPr>
                <w:b/>
                <w:color w:val="000000"/>
                <w:szCs w:val="26"/>
              </w:rPr>
            </w:pPr>
            <w:r>
              <w:rPr>
                <w:b/>
                <w:color w:val="000000"/>
                <w:szCs w:val="26"/>
              </w:rPr>
              <w:t>Chương 4: Quy định IATA về hàng hóa nguy hiểm (IATA DGR)</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4.1 Quy định IATA về hàng hóa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4.2 Nền tảng của IATA DGR</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4.3 Sự phát triển của IATA DGR</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4.4 Nguyên tắc của IATA DGR</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4.5 Xác định hàng hóa nguy hiểm đường hàng không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4.6 Đóng gói – Việc quan trọng để vận tải hàng hóa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4.7 Các mục và bố trí các mục trong IATA DGR</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4.8 Phân loại hàng hóa nguy hiểm của IATA</w:t>
            </w:r>
          </w:p>
          <w:p w:rsidR="00672E31" w:rsidRDefault="00672E31" w:rsidP="0043199C">
            <w:pPr>
              <w:pStyle w:val="ListParagraph"/>
              <w:tabs>
                <w:tab w:val="left" w:pos="90"/>
              </w:tabs>
              <w:spacing w:before="0" w:after="0" w:line="288" w:lineRule="auto"/>
              <w:ind w:left="0"/>
              <w:jc w:val="both"/>
              <w:rPr>
                <w:b/>
                <w:color w:val="000000"/>
                <w:szCs w:val="26"/>
              </w:rPr>
            </w:pPr>
            <w:r>
              <w:rPr>
                <w:color w:val="000000"/>
                <w:szCs w:val="26"/>
              </w:rPr>
              <w:t>4.9 IATA DG Hazard và làm nhãn</w:t>
            </w:r>
          </w:p>
        </w:tc>
        <w:tc>
          <w:tcPr>
            <w:tcW w:w="918"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72E31" w:rsidRDefault="00672E31" w:rsidP="0043199C">
            <w:pPr>
              <w:tabs>
                <w:tab w:val="left" w:pos="90"/>
              </w:tabs>
              <w:spacing w:before="0" w:after="0" w:line="288" w:lineRule="auto"/>
              <w:jc w:val="center"/>
              <w:rPr>
                <w:rFonts w:eastAsia="Times New Roman"/>
                <w:color w:val="000000"/>
                <w:szCs w:val="26"/>
              </w:rPr>
            </w:pPr>
          </w:p>
        </w:tc>
      </w:tr>
      <w:tr w:rsidR="00672E31" w:rsidTr="0043199C">
        <w:trPr>
          <w:trHeight w:val="454"/>
        </w:trPr>
        <w:tc>
          <w:tcPr>
            <w:tcW w:w="621" w:type="dxa"/>
          </w:tcPr>
          <w:p w:rsidR="00672E31" w:rsidRDefault="00672E31" w:rsidP="0043199C">
            <w:pPr>
              <w:tabs>
                <w:tab w:val="left" w:pos="90"/>
              </w:tabs>
              <w:spacing w:before="0" w:after="0" w:line="288" w:lineRule="auto"/>
              <w:rPr>
                <w:rFonts w:eastAsia="Times New Roman"/>
                <w:color w:val="000000"/>
                <w:szCs w:val="26"/>
              </w:rPr>
            </w:pPr>
            <w:r>
              <w:rPr>
                <w:rFonts w:eastAsia="Times New Roman"/>
                <w:color w:val="000000"/>
                <w:szCs w:val="26"/>
              </w:rPr>
              <w:t>5</w:t>
            </w:r>
          </w:p>
        </w:tc>
        <w:tc>
          <w:tcPr>
            <w:tcW w:w="3691" w:type="dxa"/>
          </w:tcPr>
          <w:p w:rsidR="00672E31" w:rsidRDefault="00672E31" w:rsidP="0043199C">
            <w:pPr>
              <w:pStyle w:val="ListParagraph"/>
              <w:tabs>
                <w:tab w:val="left" w:pos="90"/>
              </w:tabs>
              <w:spacing w:before="0" w:after="0" w:line="288" w:lineRule="auto"/>
              <w:ind w:left="0"/>
              <w:jc w:val="both"/>
              <w:rPr>
                <w:b/>
                <w:color w:val="000000"/>
                <w:szCs w:val="26"/>
              </w:rPr>
            </w:pPr>
            <w:r>
              <w:rPr>
                <w:b/>
                <w:color w:val="000000"/>
                <w:szCs w:val="26"/>
              </w:rPr>
              <w:t>Chương 5: Mã IMDG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5.1 Khung pháp lý quốc tế</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5.2 Mã IMDG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5.3 Nguyên tắc và bố trí của mã IMDG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5.4 Hệ thống phân loại của IMDG</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5.5 9 Loại hàng hóa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 xml:space="preserve">5.6 Số UN và Proper Shipping </w:t>
            </w:r>
            <w:r>
              <w:rPr>
                <w:color w:val="000000"/>
                <w:szCs w:val="26"/>
              </w:rPr>
              <w:lastRenderedPageBreak/>
              <w:t>Name (PSN)</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5.7 Nhãn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5.8 Đọc hiểu danh sách hàng nguy hiểm</w:t>
            </w:r>
          </w:p>
          <w:p w:rsidR="00672E31" w:rsidRDefault="00672E31" w:rsidP="0043199C">
            <w:pPr>
              <w:pStyle w:val="ListParagraph"/>
              <w:tabs>
                <w:tab w:val="left" w:pos="90"/>
              </w:tabs>
              <w:spacing w:before="0" w:after="0" w:line="288" w:lineRule="auto"/>
              <w:ind w:left="0"/>
              <w:jc w:val="both"/>
              <w:rPr>
                <w:color w:val="000000"/>
                <w:szCs w:val="26"/>
              </w:rPr>
            </w:pPr>
            <w:r>
              <w:rPr>
                <w:color w:val="000000"/>
                <w:szCs w:val="26"/>
              </w:rPr>
              <w:t>5.9 Yêu cầu huấn luyện</w:t>
            </w:r>
          </w:p>
          <w:p w:rsidR="00672E31" w:rsidRDefault="00672E31" w:rsidP="0043199C">
            <w:pPr>
              <w:pStyle w:val="ListParagraph"/>
              <w:tabs>
                <w:tab w:val="left" w:pos="90"/>
              </w:tabs>
              <w:spacing w:before="0" w:after="0" w:line="288" w:lineRule="auto"/>
              <w:ind w:left="0"/>
              <w:jc w:val="both"/>
              <w:rPr>
                <w:b/>
                <w:color w:val="000000"/>
                <w:szCs w:val="26"/>
              </w:rPr>
            </w:pPr>
            <w:r>
              <w:rPr>
                <w:color w:val="000000"/>
                <w:szCs w:val="26"/>
              </w:rPr>
              <w:t>5.10 Sử dụng mã IMDG</w:t>
            </w:r>
          </w:p>
        </w:tc>
        <w:tc>
          <w:tcPr>
            <w:tcW w:w="918"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lastRenderedPageBreak/>
              <w:t>9</w:t>
            </w:r>
          </w:p>
        </w:tc>
        <w:tc>
          <w:tcPr>
            <w:tcW w:w="979"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1</w:t>
            </w:r>
          </w:p>
        </w:tc>
      </w:tr>
      <w:tr w:rsidR="00672E31" w:rsidTr="0043199C">
        <w:trPr>
          <w:trHeight w:val="454"/>
        </w:trPr>
        <w:tc>
          <w:tcPr>
            <w:tcW w:w="4312" w:type="dxa"/>
            <w:gridSpan w:val="2"/>
            <w:vAlign w:val="center"/>
          </w:tcPr>
          <w:p w:rsidR="00672E31" w:rsidRDefault="00672E31" w:rsidP="0043199C">
            <w:pPr>
              <w:tabs>
                <w:tab w:val="left" w:pos="90"/>
              </w:tabs>
              <w:spacing w:before="0" w:after="0" w:line="288" w:lineRule="auto"/>
              <w:jc w:val="center"/>
              <w:rPr>
                <w:rFonts w:eastAsia="Times New Roman"/>
                <w:b/>
                <w:color w:val="000000"/>
                <w:szCs w:val="26"/>
              </w:rPr>
            </w:pPr>
            <w:r>
              <w:rPr>
                <w:rFonts w:eastAsia="Times New Roman"/>
                <w:b/>
                <w:color w:val="000000"/>
                <w:szCs w:val="26"/>
              </w:rPr>
              <w:lastRenderedPageBreak/>
              <w:t>Tổng cộng</w:t>
            </w:r>
          </w:p>
        </w:tc>
        <w:tc>
          <w:tcPr>
            <w:tcW w:w="918" w:type="dxa"/>
            <w:vAlign w:val="center"/>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45</w:t>
            </w:r>
          </w:p>
        </w:tc>
        <w:tc>
          <w:tcPr>
            <w:tcW w:w="979" w:type="dxa"/>
            <w:vAlign w:val="center"/>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13</w:t>
            </w:r>
          </w:p>
        </w:tc>
        <w:tc>
          <w:tcPr>
            <w:tcW w:w="2376" w:type="dxa"/>
            <w:vAlign w:val="center"/>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672E31" w:rsidRDefault="00672E31" w:rsidP="0043199C">
            <w:pPr>
              <w:tabs>
                <w:tab w:val="left" w:pos="90"/>
              </w:tabs>
              <w:spacing w:before="0" w:after="0" w:line="288" w:lineRule="auto"/>
              <w:jc w:val="center"/>
              <w:rPr>
                <w:rFonts w:eastAsia="Times New Roman"/>
                <w:color w:val="000000"/>
                <w:szCs w:val="26"/>
              </w:rPr>
            </w:pPr>
            <w:r>
              <w:rPr>
                <w:rFonts w:eastAsia="Times New Roman"/>
                <w:color w:val="000000"/>
                <w:szCs w:val="26"/>
              </w:rPr>
              <w:t>2</w:t>
            </w:r>
          </w:p>
        </w:tc>
      </w:tr>
    </w:tbl>
    <w:p w:rsidR="00672E31" w:rsidRDefault="00672E31" w:rsidP="00672E31">
      <w:pPr>
        <w:tabs>
          <w:tab w:val="left" w:pos="90"/>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Chương 1: Nguyên tắc quản lý hóa chất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 xml:space="preserve"> Thời gian:9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Mục tiêu: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 xml:space="preserve">Hiểu và nhận biết về hàng hóa nguy hiểm.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 xml:space="preserve">Hiểu về các điều khoản và định nghĩa cơ bản, đường phơi nhiễm.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ảnh hưởng của hóa chất tới con người</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 xml:space="preserve">Trình bày </w:t>
      </w:r>
      <w:r>
        <w:rPr>
          <w:color w:val="000000"/>
          <w:szCs w:val="26"/>
          <w:lang w:val="pt-BR"/>
        </w:rPr>
        <w:t>cách nhận biết, phân loại, đóng gói, lưu trữ, chứng từ khai báo; cách thức xử lý khi có sự cố</w:t>
      </w:r>
      <w:r>
        <w:rPr>
          <w:color w:val="000000"/>
          <w:szCs w:val="26"/>
          <w:lang w:val="sv-SE"/>
        </w:rPr>
        <w:t>.</w:t>
      </w:r>
    </w:p>
    <w:p w:rsidR="00672E31" w:rsidRDefault="00672E31" w:rsidP="00672E31">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72E31" w:rsidRDefault="00672E31" w:rsidP="00672E31">
      <w:pPr>
        <w:pStyle w:val="ListParagraph"/>
        <w:tabs>
          <w:tab w:val="left" w:pos="90"/>
        </w:tabs>
        <w:spacing w:before="0" w:after="0" w:line="288" w:lineRule="auto"/>
        <w:ind w:left="0"/>
        <w:jc w:val="both"/>
        <w:rPr>
          <w:color w:val="000000"/>
          <w:szCs w:val="26"/>
          <w:lang w:val="sv-SE"/>
        </w:rPr>
      </w:pP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1.1 Xác định tính nguy hiểm</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1.2 Các điều khoản và định nghĩa cơ bản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1.3 Phân loại cơ bản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1.4 Đường phơi nhiễm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1.5 Quan hệ liều lượng – phản ứng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i/>
          <w:color w:val="000000"/>
          <w:szCs w:val="26"/>
          <w:lang w:val="sv-SE"/>
        </w:rPr>
      </w:pPr>
      <w:r>
        <w:rPr>
          <w:color w:val="000000"/>
          <w:szCs w:val="26"/>
          <w:lang w:val="sv-SE"/>
        </w:rPr>
        <w:t>1.6 Ảnh hưởng của hóa chất tới con người (Nguyên nhân và tác động)</w:t>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gian:6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Chương 2: Phân loại quốc tề về hàng hóa nguy hiểm(DG) </w:t>
      </w:r>
      <w:r>
        <w:rPr>
          <w:b/>
          <w:color w:val="000000"/>
          <w:szCs w:val="26"/>
          <w:lang w:val="sv-SE"/>
        </w:rPr>
        <w:tab/>
      </w:r>
      <w:r>
        <w:rPr>
          <w:b/>
          <w:color w:val="000000"/>
          <w:szCs w:val="26"/>
          <w:lang w:val="sv-SE"/>
        </w:rPr>
        <w:tab/>
        <w:t>Thời gian:9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Mục tiêu: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về khuyến cáo vận chuyển hàng hóa nguy hiểm của Liên Hợp Quốc (UN)</w:t>
      </w:r>
      <w:r>
        <w:rPr>
          <w:i/>
          <w:color w:val="000000"/>
          <w:szCs w:val="26"/>
          <w:lang w:val="sv-SE"/>
        </w:rPr>
        <w:t xml:space="preserve">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Phân loại và cảnh báo nguy hiểm, điều khoản cơ bản trong UNTDG, Quy cách nhóm đóng gói UN (PG)</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lastRenderedPageBreak/>
        <w:t>Vận dụng kiến thức vào thực tế Doanh nghiệp</w:t>
      </w:r>
    </w:p>
    <w:p w:rsidR="00672E31" w:rsidRDefault="00672E31" w:rsidP="00672E31">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2.1 UNTDG –Khuyến cáo về Vận chuyển hàng hóa nguy hiểm của Liên Hợp Quốc (UN)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2.2 Phân loại quốc tề về hàng hóa nguy hiểm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rPr>
        <w:t>2.3 Hệ thống Linkage/ASEAN Protocol 9</w:t>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2.4 Phân loại và cảnh báo nguy hiểm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2.5 Phân loại hàng nguy hiểm (9 loại)</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rPr>
        <w:t>2.6 Điều khoản cơ bản trong UNTDG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2.7 Quy cách nhóm đóng gói UN (PG)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gian:0,5 giờ</w:t>
      </w:r>
    </w:p>
    <w:p w:rsidR="00672E31" w:rsidRDefault="00672E31" w:rsidP="00672E31">
      <w:pPr>
        <w:pStyle w:val="ListParagraph"/>
        <w:tabs>
          <w:tab w:val="left" w:pos="90"/>
        </w:tabs>
        <w:spacing w:before="0" w:after="0" w:line="288" w:lineRule="auto"/>
        <w:ind w:left="0"/>
        <w:jc w:val="both"/>
        <w:rPr>
          <w:i/>
          <w:color w:val="000000"/>
          <w:szCs w:val="26"/>
          <w:lang w:val="sv-SE"/>
        </w:rPr>
      </w:pPr>
      <w:r>
        <w:rPr>
          <w:color w:val="000000"/>
          <w:szCs w:val="26"/>
          <w:lang w:val="sv-SE"/>
        </w:rPr>
        <w:t>2.8 Số UN và Tên gọi đúng (PSN)</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gian:0,25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gian:6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Chương 3: Ký hiệu và đóng gói của UN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gian:9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Mục tiêu: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về ký hiệu và đóng gói của UN</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 xml:space="preserve">Trình bày về đóng gói hàng hóa nguy hiểm </w:t>
      </w:r>
      <w:r>
        <w:rPr>
          <w:color w:val="000000"/>
          <w:szCs w:val="26"/>
          <w:lang w:val="sv-SE"/>
        </w:rPr>
        <w:tab/>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lợi thế của việc đóng gói, hệ thống phân loại khác (US &amp;EU)</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Vận dụng vào thực tế kiến thức ký hiệu và đóng gói</w:t>
      </w:r>
    </w:p>
    <w:p w:rsidR="00672E31" w:rsidRDefault="00672E31" w:rsidP="00672E31">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3.1 Ký hiệu và đóng gói của UN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3.2 Đóng gói hàng hóa nguy hiểm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3.3 Ký mã hiệu và dán nhãn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3.4 Lợi thế của việc đóng gói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rPr>
        <w:t>3.5 Một số ví dụ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gian:0,25 giờ</w:t>
      </w:r>
    </w:p>
    <w:p w:rsidR="00672E31" w:rsidRDefault="00672E31" w:rsidP="00672E31">
      <w:pPr>
        <w:pStyle w:val="ListParagraph"/>
        <w:tabs>
          <w:tab w:val="left" w:pos="90"/>
        </w:tabs>
        <w:spacing w:before="0" w:after="0" w:line="288" w:lineRule="auto"/>
        <w:ind w:left="0"/>
        <w:jc w:val="both"/>
        <w:rPr>
          <w:i/>
          <w:color w:val="000000"/>
          <w:szCs w:val="26"/>
          <w:lang w:val="sv-SE"/>
        </w:rPr>
      </w:pPr>
      <w:r>
        <w:rPr>
          <w:color w:val="000000"/>
          <w:szCs w:val="26"/>
          <w:lang w:val="sv-SE"/>
        </w:rPr>
        <w:t>3.6 Hệ thống phân loại khác (US &amp;EU)</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gian:0,25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gian:6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Chương 4: Quy định IATA về hàng hóa nguy hiểm (IATA DGR)</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9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Mục tiêu: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quy định IATA về hàng hóa nguy hiểm</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sự ra đời và phát triển của IATA DGR</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Giải thích đóng gói – việc quan trọng để vận tải hàng hóa nguy hiểm</w:t>
      </w:r>
      <w:r>
        <w:rPr>
          <w:color w:val="000000"/>
          <w:szCs w:val="26"/>
          <w:lang w:val="vi-VN"/>
        </w:rPr>
        <w:t>\</w:t>
      </w:r>
    </w:p>
    <w:p w:rsidR="00672E31" w:rsidRDefault="00672E31" w:rsidP="00672E31">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lastRenderedPageBreak/>
        <w:t>4.1 Quy định IATA về hàng hóa nguy hiểm</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4.2 Nền tảng của IATA DGR</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4.3 Sự phát triển của IATA DGR</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4.4 Nguyên tắc của IATA DGR</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4.5 Xác định hàng hóa nguy hiểm đường hàng không</w:t>
      </w:r>
      <w:r>
        <w:rPr>
          <w:i/>
          <w:color w:val="000000"/>
          <w:szCs w:val="26"/>
          <w:lang w:val="sv-SE"/>
        </w:rPr>
        <w:tab/>
      </w:r>
      <w:r>
        <w:rPr>
          <w:i/>
          <w:color w:val="000000"/>
          <w:szCs w:val="26"/>
          <w:lang w:val="sv-SE"/>
        </w:rPr>
        <w:tab/>
      </w:r>
      <w:r>
        <w:rPr>
          <w:i/>
          <w:color w:val="000000"/>
          <w:szCs w:val="26"/>
          <w:lang w:val="sv-SE"/>
        </w:rPr>
        <w:tab/>
        <w:t>Thời gian: 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4.6 Đóng gói – Việc quan trọng để vận tải hàng hóa nguy hiểm</w:t>
      </w:r>
      <w:r>
        <w:rPr>
          <w:i/>
          <w:color w:val="000000"/>
          <w:szCs w:val="26"/>
          <w:lang w:val="sv-SE"/>
        </w:rPr>
        <w:t xml:space="preserve"> Thời gian: 0,3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4.7 Các mục và bố trí các mục trong IATA DGR</w:t>
      </w:r>
      <w:r>
        <w:rPr>
          <w:color w:val="000000"/>
          <w:szCs w:val="26"/>
        </w:rPr>
        <w:tab/>
      </w:r>
      <w:r>
        <w:rPr>
          <w:color w:val="000000"/>
          <w:szCs w:val="26"/>
        </w:rPr>
        <w:tab/>
      </w:r>
      <w:r>
        <w:rPr>
          <w:color w:val="000000"/>
          <w:szCs w:val="26"/>
        </w:rPr>
        <w:tab/>
      </w:r>
      <w:r>
        <w:rPr>
          <w:i/>
          <w:color w:val="000000"/>
          <w:szCs w:val="26"/>
          <w:lang w:val="sv-SE"/>
        </w:rPr>
        <w:t>Thời gian:0,6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4.8 Phân loại hàng hóa nguy hiểm của IATA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0,3 giờ</w:t>
      </w:r>
    </w:p>
    <w:p w:rsidR="00672E31" w:rsidRDefault="00672E31" w:rsidP="00672E31">
      <w:pPr>
        <w:pStyle w:val="ListParagraph"/>
        <w:tabs>
          <w:tab w:val="left" w:pos="90"/>
        </w:tabs>
        <w:spacing w:before="0" w:after="0" w:line="288" w:lineRule="auto"/>
        <w:ind w:left="0"/>
        <w:jc w:val="both"/>
        <w:rPr>
          <w:i/>
          <w:color w:val="000000"/>
          <w:szCs w:val="26"/>
          <w:lang w:val="sv-SE"/>
        </w:rPr>
      </w:pPr>
      <w:r>
        <w:rPr>
          <w:color w:val="000000"/>
          <w:szCs w:val="26"/>
        </w:rPr>
        <w:t>4.9 IATA DG Hazard và làm nhãn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0,3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6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Chương 5: Mã IMDG</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gian:9 giờ</w:t>
      </w:r>
    </w:p>
    <w:p w:rsidR="00672E31" w:rsidRDefault="00672E31" w:rsidP="00672E31">
      <w:pPr>
        <w:pStyle w:val="ListParagraph"/>
        <w:tabs>
          <w:tab w:val="left" w:pos="90"/>
        </w:tabs>
        <w:spacing w:before="0" w:after="0" w:line="288" w:lineRule="auto"/>
        <w:ind w:left="0"/>
        <w:jc w:val="both"/>
        <w:rPr>
          <w:b/>
          <w:color w:val="000000"/>
          <w:szCs w:val="26"/>
          <w:lang w:val="sv-SE"/>
        </w:rPr>
      </w:pPr>
      <w:r>
        <w:rPr>
          <w:b/>
          <w:color w:val="000000"/>
          <w:szCs w:val="26"/>
          <w:lang w:val="sv-SE"/>
        </w:rPr>
        <w:t xml:space="preserve">Mục tiêu: </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khung pháp lý quốc tế</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Trình bày nguyên tắc và bố trí của mã IMDG, hệ thống phân loại của IMDG, số UN và Proper Shipping Name (PSN)</w:t>
      </w:r>
    </w:p>
    <w:p w:rsidR="00672E31" w:rsidRDefault="00672E31" w:rsidP="00672E31">
      <w:pPr>
        <w:pStyle w:val="ListParagraph"/>
        <w:numPr>
          <w:ilvl w:val="0"/>
          <w:numId w:val="4"/>
        </w:numPr>
        <w:tabs>
          <w:tab w:val="left" w:pos="90"/>
        </w:tabs>
        <w:spacing w:before="0" w:after="0" w:line="288" w:lineRule="auto"/>
        <w:jc w:val="both"/>
        <w:rPr>
          <w:color w:val="000000"/>
          <w:szCs w:val="26"/>
          <w:lang w:val="sv-SE"/>
        </w:rPr>
      </w:pPr>
      <w:r>
        <w:rPr>
          <w:color w:val="000000"/>
          <w:szCs w:val="26"/>
          <w:lang w:val="sv-SE"/>
        </w:rPr>
        <w:t>Vận dụng kiến thức vào thực tế đọc hiểu danh sách hàng nguy hiểm</w:t>
      </w:r>
    </w:p>
    <w:p w:rsidR="00672E31" w:rsidRDefault="00672E31" w:rsidP="00672E31">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5.1 Khung pháp lý quốc tế</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5.2 Mã IMDG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5.3 Nguyên tắc và bố trí của mã IMDG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5.4 Hệ thống phân loại của IMDG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gian:0,2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5.5 9 Loại hàng hóa nguy hiểm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5.6 Số UN và Proper Shipping Name (PSN)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5.7 Nhãn nguy hiểm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5.8 Đọc hiểu danh sách hàng nguy hiểm</w:t>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gian:0,2 giờ</w:t>
      </w:r>
    </w:p>
    <w:p w:rsidR="00672E31" w:rsidRDefault="00672E31" w:rsidP="00672E31">
      <w:pPr>
        <w:pStyle w:val="ListParagraph"/>
        <w:tabs>
          <w:tab w:val="left" w:pos="90"/>
        </w:tabs>
        <w:spacing w:before="0" w:after="0" w:line="288" w:lineRule="auto"/>
        <w:ind w:left="0"/>
        <w:jc w:val="both"/>
        <w:rPr>
          <w:color w:val="000000"/>
          <w:szCs w:val="26"/>
        </w:rPr>
      </w:pPr>
      <w:r>
        <w:rPr>
          <w:color w:val="000000"/>
          <w:szCs w:val="26"/>
        </w:rPr>
        <w:t>5.9 Yêu cầu huấn luyện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gian:0,2 giờ</w:t>
      </w:r>
    </w:p>
    <w:p w:rsidR="00672E31" w:rsidRDefault="00672E31" w:rsidP="00672E31">
      <w:pPr>
        <w:tabs>
          <w:tab w:val="left" w:pos="90"/>
        </w:tabs>
        <w:spacing w:before="0" w:after="0" w:line="288" w:lineRule="auto"/>
        <w:jc w:val="both"/>
        <w:rPr>
          <w:i/>
          <w:color w:val="000000"/>
          <w:szCs w:val="26"/>
          <w:lang w:val="sv-SE"/>
        </w:rPr>
      </w:pPr>
      <w:r>
        <w:rPr>
          <w:color w:val="000000"/>
          <w:szCs w:val="26"/>
        </w:rPr>
        <w:t>5.10 Sử dụng mã IMDG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0,2 giờ</w:t>
      </w:r>
    </w:p>
    <w:p w:rsidR="00672E31" w:rsidRDefault="00672E31" w:rsidP="00672E31">
      <w:pPr>
        <w:pStyle w:val="ListParagraph"/>
        <w:tabs>
          <w:tab w:val="left" w:pos="90"/>
        </w:tabs>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gian:6 giờ</w:t>
      </w:r>
    </w:p>
    <w:p w:rsidR="00672E31" w:rsidRDefault="00672E31" w:rsidP="00672E31">
      <w:pPr>
        <w:pStyle w:val="ListParagraph"/>
        <w:tabs>
          <w:tab w:val="left" w:pos="90"/>
        </w:tabs>
        <w:spacing w:before="0" w:after="0" w:line="288" w:lineRule="auto"/>
        <w:ind w:left="0"/>
        <w:jc w:val="both"/>
        <w:rPr>
          <w:color w:val="000000"/>
          <w:szCs w:val="26"/>
          <w:lang w:val="sv-SE"/>
        </w:rPr>
      </w:pPr>
      <w:r>
        <w:rPr>
          <w:rFonts w:eastAsia="Times New Roman"/>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 giờ</w:t>
      </w:r>
    </w:p>
    <w:p w:rsidR="00672E31" w:rsidRDefault="00672E31" w:rsidP="00672E31">
      <w:pPr>
        <w:tabs>
          <w:tab w:val="left" w:pos="90"/>
        </w:tabs>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672E31" w:rsidRDefault="00672E31" w:rsidP="00672E31">
      <w:pPr>
        <w:tabs>
          <w:tab w:val="left" w:pos="90"/>
        </w:tabs>
        <w:spacing w:before="0" w:after="0" w:line="288" w:lineRule="auto"/>
        <w:jc w:val="both"/>
        <w:rPr>
          <w:rFonts w:eastAsia="Times New Roman"/>
          <w:b/>
          <w:color w:val="000000"/>
          <w:szCs w:val="26"/>
          <w:lang w:val="sv-SE"/>
        </w:rPr>
      </w:pPr>
      <w:r>
        <w:rPr>
          <w:rFonts w:eastAsia="Times New Roman"/>
          <w:b/>
          <w:color w:val="000000"/>
          <w:szCs w:val="26"/>
          <w:lang w:val="sv-SE"/>
        </w:rPr>
        <w:lastRenderedPageBreak/>
        <w:t xml:space="preserve">V. Nội dung và phương pháp, đánh giá: </w:t>
      </w:r>
    </w:p>
    <w:p w:rsidR="00672E31" w:rsidRDefault="00672E31" w:rsidP="00672E31">
      <w:pPr>
        <w:tabs>
          <w:tab w:val="left" w:pos="90"/>
        </w:tabs>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672E31" w:rsidRDefault="00672E31" w:rsidP="00672E31">
      <w:pPr>
        <w:pStyle w:val="s2"/>
        <w:numPr>
          <w:ilvl w:val="0"/>
          <w:numId w:val="0"/>
        </w:numPr>
        <w:tabs>
          <w:tab w:val="clear" w:pos="709"/>
          <w:tab w:val="left" w:pos="90"/>
        </w:tabs>
        <w:spacing w:line="288" w:lineRule="auto"/>
        <w:rPr>
          <w:bCs/>
          <w:color w:val="000000"/>
          <w:sz w:val="26"/>
          <w:szCs w:val="26"/>
        </w:rPr>
      </w:pPr>
      <w:r>
        <w:rPr>
          <w:b/>
          <w:bCs/>
          <w:color w:val="000000"/>
          <w:sz w:val="26"/>
          <w:szCs w:val="26"/>
          <w:lang w:val="sv-SE"/>
        </w:rPr>
        <w:t xml:space="preserve">- </w:t>
      </w:r>
      <w:r>
        <w:rPr>
          <w:b/>
          <w:bCs/>
          <w:color w:val="000000"/>
          <w:sz w:val="26"/>
          <w:szCs w:val="26"/>
        </w:rPr>
        <w:t xml:space="preserve">Kiến thức: </w:t>
      </w:r>
      <w:r>
        <w:rPr>
          <w:color w:val="000000"/>
          <w:sz w:val="26"/>
          <w:szCs w:val="26"/>
          <w:lang w:val="pt-BR"/>
        </w:rPr>
        <w:t>Hiểu và nhận biết được các loại hàng Nguy hiểm và các quy định vận chuyển, bảo quản theo các phương thức vận tải khác nhau; cách nhận biết, phân loại, đóng gói, lưu trữ, chứng từ khai báo; cách thức xử lý khi có sự cố</w:t>
      </w:r>
      <w:r>
        <w:rPr>
          <w:color w:val="000000"/>
          <w:sz w:val="26"/>
          <w:szCs w:val="26"/>
        </w:rPr>
        <w:t>.</w:t>
      </w:r>
    </w:p>
    <w:p w:rsidR="00672E31" w:rsidRDefault="00672E31" w:rsidP="00672E31">
      <w:pPr>
        <w:pStyle w:val="s2"/>
        <w:numPr>
          <w:ilvl w:val="0"/>
          <w:numId w:val="0"/>
        </w:numPr>
        <w:tabs>
          <w:tab w:val="clear" w:pos="709"/>
          <w:tab w:val="left" w:pos="90"/>
        </w:tabs>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đểphân loại, kiểm tra đóng gói, dán nhãn, ký hiệu cảnh báo, khai báo đúng quy định đảm bảo vận chuyển và tồn trữ an toàn; biết cách phòng chống và xử lý khi có sự cố với hàng nguy hiểm.</w:t>
      </w:r>
    </w:p>
    <w:p w:rsidR="00672E31" w:rsidRDefault="00672E31" w:rsidP="00672E31">
      <w:pPr>
        <w:pStyle w:val="s2"/>
        <w:numPr>
          <w:ilvl w:val="0"/>
          <w:numId w:val="0"/>
        </w:numPr>
        <w:tabs>
          <w:tab w:val="left" w:pos="90"/>
        </w:tabs>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Cẩn thận, tỷ mỷ, chính xác, chuyên nghiệp và chắc chắn với tinh thần trách nhiệm cao; Tuân thủ các quy định của pháp luật, nhà vận tải, chủ hàng, quy trình quản lý của công ty</w:t>
      </w:r>
    </w:p>
    <w:p w:rsidR="00672E31" w:rsidRDefault="00672E31" w:rsidP="00672E31">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672E31" w:rsidRDefault="00672E31" w:rsidP="00672E31">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672E31" w:rsidRDefault="00672E31" w:rsidP="00672E31">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672E31" w:rsidRDefault="00672E31" w:rsidP="00672E31">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672E31" w:rsidRDefault="00672E31" w:rsidP="00672E31">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672E31" w:rsidRDefault="00672E31" w:rsidP="00672E31">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672E31" w:rsidRDefault="00672E31" w:rsidP="00672E31">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672E31" w:rsidRDefault="00672E31" w:rsidP="00672E31">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72E31" w:rsidRDefault="00672E31" w:rsidP="00672E31">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672E31" w:rsidRDefault="00672E31" w:rsidP="00672E31">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2, 3, chương 4, chương 5</w:t>
      </w:r>
    </w:p>
    <w:p w:rsidR="00672E31" w:rsidRDefault="00672E31" w:rsidP="00672E31">
      <w:pPr>
        <w:tabs>
          <w:tab w:val="left" w:pos="90"/>
        </w:tabs>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672E31" w:rsidRDefault="00672E31" w:rsidP="00672E31">
      <w:pPr>
        <w:pStyle w:val="ListParagraph"/>
        <w:tabs>
          <w:tab w:val="left" w:pos="90"/>
        </w:tabs>
        <w:spacing w:before="0" w:after="0" w:line="288" w:lineRule="auto"/>
        <w:ind w:left="0"/>
        <w:jc w:val="both"/>
        <w:rPr>
          <w:bCs/>
          <w:iCs/>
          <w:color w:val="000000"/>
          <w:szCs w:val="26"/>
          <w:lang w:val="en-GB"/>
        </w:rPr>
      </w:pPr>
      <w:r>
        <w:rPr>
          <w:bCs/>
          <w:color w:val="000000"/>
          <w:szCs w:val="26"/>
          <w:lang w:val="sv-SE"/>
        </w:rPr>
        <w:t xml:space="preserve">- </w:t>
      </w:r>
      <w:r>
        <w:rPr>
          <w:bCs/>
          <w:color w:val="000000"/>
          <w:szCs w:val="26"/>
        </w:rPr>
        <w:t>Dangerous Goods – All Modes</w:t>
      </w:r>
      <w:r>
        <w:rPr>
          <w:bCs/>
          <w:iCs/>
          <w:color w:val="000000"/>
          <w:szCs w:val="26"/>
          <w:lang w:val="en-GB"/>
        </w:rPr>
        <w:t>, AFFA 2014</w:t>
      </w:r>
    </w:p>
    <w:p w:rsidR="00672E31" w:rsidRDefault="00672E31" w:rsidP="00672E31">
      <w:pPr>
        <w:pStyle w:val="ListParagraph"/>
        <w:tabs>
          <w:tab w:val="left" w:pos="90"/>
        </w:tabs>
        <w:spacing w:before="0" w:after="0" w:line="288" w:lineRule="auto"/>
        <w:ind w:left="0"/>
        <w:jc w:val="both"/>
        <w:rPr>
          <w:iCs/>
          <w:color w:val="000000"/>
          <w:szCs w:val="26"/>
          <w:lang w:val="en-GB"/>
        </w:rPr>
      </w:pPr>
      <w:r>
        <w:rPr>
          <w:b/>
          <w:bCs/>
          <w:color w:val="000000"/>
          <w:szCs w:val="26"/>
        </w:rPr>
        <w:t xml:space="preserve">- </w:t>
      </w:r>
      <w:r>
        <w:rPr>
          <w:iCs/>
          <w:color w:val="000000"/>
          <w:szCs w:val="26"/>
          <w:lang w:val="en-GB"/>
        </w:rPr>
        <w:t>IATA DGR Manual, 58</w:t>
      </w:r>
      <w:r>
        <w:rPr>
          <w:iCs/>
          <w:color w:val="000000"/>
          <w:szCs w:val="26"/>
          <w:vertAlign w:val="superscript"/>
          <w:lang w:val="en-GB"/>
        </w:rPr>
        <w:t>th</w:t>
      </w:r>
      <w:r>
        <w:rPr>
          <w:iCs/>
          <w:color w:val="000000"/>
          <w:szCs w:val="26"/>
          <w:lang w:val="en-GB"/>
        </w:rPr>
        <w:t xml:space="preserve"> Edition</w:t>
      </w:r>
    </w:p>
    <w:p w:rsidR="00672E31" w:rsidRDefault="00672E31" w:rsidP="00672E31">
      <w:pPr>
        <w:tabs>
          <w:tab w:val="left" w:pos="90"/>
        </w:tabs>
        <w:spacing w:before="0" w:after="0" w:line="288" w:lineRule="auto"/>
        <w:jc w:val="both"/>
        <w:rPr>
          <w:iCs/>
          <w:color w:val="000000"/>
          <w:szCs w:val="26"/>
          <w:lang w:val="en-GB"/>
        </w:rPr>
      </w:pPr>
      <w:r>
        <w:rPr>
          <w:iCs/>
          <w:color w:val="000000"/>
          <w:szCs w:val="26"/>
          <w:lang w:val="en-GB"/>
        </w:rPr>
        <w:t>- IMO-IMDG Books, 2016 Edition</w:t>
      </w:r>
    </w:p>
    <w:p w:rsidR="00672E31" w:rsidRDefault="00672E31" w:rsidP="00672E31">
      <w:pPr>
        <w:tabs>
          <w:tab w:val="left" w:pos="90"/>
        </w:tabs>
        <w:spacing w:before="0" w:after="0" w:line="288" w:lineRule="auto"/>
        <w:jc w:val="both"/>
        <w:rPr>
          <w:iCs/>
          <w:color w:val="000000"/>
          <w:szCs w:val="26"/>
          <w:lang w:val="en-GB"/>
        </w:rPr>
      </w:pPr>
      <w:r>
        <w:rPr>
          <w:iCs/>
          <w:color w:val="000000"/>
          <w:szCs w:val="26"/>
          <w:lang w:val="en-GB"/>
        </w:rPr>
        <w:t>- AND/ANR 2013 Edition</w:t>
      </w:r>
    </w:p>
    <w:p w:rsidR="00672E31" w:rsidRDefault="00672E31" w:rsidP="00672E31">
      <w:pPr>
        <w:tabs>
          <w:tab w:val="left" w:pos="90"/>
        </w:tabs>
        <w:spacing w:before="0" w:after="0" w:line="288" w:lineRule="auto"/>
        <w:jc w:val="both"/>
        <w:rPr>
          <w:rFonts w:eastAsia="Times New Roman"/>
          <w:color w:val="000000"/>
          <w:szCs w:val="26"/>
          <w:lang w:val="sv-SE"/>
        </w:rPr>
      </w:pPr>
      <w:r>
        <w:rPr>
          <w:iCs/>
          <w:color w:val="000000"/>
          <w:szCs w:val="26"/>
          <w:lang w:val="en-GB"/>
        </w:rPr>
        <w:tab/>
      </w:r>
      <w:r>
        <w:rPr>
          <w:rFonts w:eastAsia="Times New Roman"/>
          <w:color w:val="000000"/>
          <w:szCs w:val="26"/>
          <w:lang w:val="sv-SE"/>
        </w:rPr>
        <w:t>5. Ghi chú và giải thích (nếu có).</w:t>
      </w:r>
    </w:p>
    <w:p w:rsidR="00672E31" w:rsidRDefault="00672E31" w:rsidP="00672E31">
      <w:pPr>
        <w:spacing w:before="0" w:after="0" w:line="288" w:lineRule="auto"/>
        <w:ind w:left="3240"/>
        <w:jc w:val="both"/>
        <w:rPr>
          <w:i/>
          <w:szCs w:val="26"/>
          <w:lang w:val="pl-PL"/>
        </w:rPr>
      </w:pPr>
      <w:r>
        <w:rPr>
          <w:i/>
          <w:szCs w:val="26"/>
          <w:lang w:val="pl-PL"/>
        </w:rPr>
        <w:t>Thành phố Hồ Chí Minh, ngày         tháng          năm 2020</w:t>
      </w:r>
    </w:p>
    <w:p w:rsidR="00672E31" w:rsidRDefault="00672E31" w:rsidP="00672E31">
      <w:pPr>
        <w:spacing w:before="0" w:after="0" w:line="288" w:lineRule="auto"/>
        <w:ind w:left="5760" w:firstLine="720"/>
        <w:jc w:val="both"/>
        <w:rPr>
          <w:szCs w:val="26"/>
          <w:lang w:val="pl-PL"/>
        </w:rPr>
      </w:pPr>
      <w:r>
        <w:rPr>
          <w:szCs w:val="26"/>
          <w:lang w:val="pl-PL"/>
        </w:rPr>
        <w:t>Trưởng khoa</w:t>
      </w:r>
    </w:p>
    <w:p w:rsidR="00672E31" w:rsidRDefault="00672E31" w:rsidP="00672E31">
      <w:pPr>
        <w:spacing w:before="0" w:after="0" w:line="288" w:lineRule="auto"/>
        <w:ind w:left="1080"/>
        <w:jc w:val="both"/>
        <w:rPr>
          <w:szCs w:val="26"/>
          <w:lang w:val="pl-PL"/>
        </w:rPr>
      </w:pPr>
    </w:p>
    <w:p w:rsidR="00672E31" w:rsidRDefault="00672E31" w:rsidP="00672E31">
      <w:pPr>
        <w:spacing w:before="0" w:after="0" w:line="288" w:lineRule="auto"/>
        <w:ind w:left="1080"/>
        <w:jc w:val="both"/>
        <w:rPr>
          <w:szCs w:val="26"/>
          <w:lang w:val="pl-PL"/>
        </w:rPr>
      </w:pPr>
    </w:p>
    <w:p w:rsidR="00672E31" w:rsidRDefault="00672E31" w:rsidP="00672E31">
      <w:pPr>
        <w:spacing w:before="0" w:after="0" w:line="288" w:lineRule="auto"/>
        <w:ind w:left="1080"/>
        <w:jc w:val="both"/>
        <w:rPr>
          <w:szCs w:val="26"/>
          <w:lang w:val="pl-PL"/>
        </w:rPr>
      </w:pPr>
    </w:p>
    <w:p w:rsidR="00672E31" w:rsidRDefault="00672E31" w:rsidP="00672E31">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643629F3"/>
    <w:multiLevelType w:val="multilevel"/>
    <w:tmpl w:val="643629F3"/>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E31"/>
    <w:rsid w:val="00197DDE"/>
    <w:rsid w:val="00672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E3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672E31"/>
    <w:rPr>
      <w:sz w:val="24"/>
      <w:szCs w:val="24"/>
      <w:lang w:val="vi-VN"/>
    </w:rPr>
  </w:style>
  <w:style w:type="character" w:customStyle="1" w:styleId="ListParagraphChar">
    <w:name w:val="List Paragraph Char"/>
    <w:link w:val="ListParagraph"/>
    <w:rsid w:val="00672E31"/>
    <w:rPr>
      <w:sz w:val="26"/>
    </w:rPr>
  </w:style>
  <w:style w:type="character" w:customStyle="1" w:styleId="st1Char">
    <w:name w:val="st1 Char"/>
    <w:link w:val="st1"/>
    <w:rsid w:val="00672E31"/>
    <w:rPr>
      <w:rFonts w:eastAsia="Times New Roman"/>
      <w:sz w:val="24"/>
      <w:szCs w:val="24"/>
      <w:lang w:val="vi-VN"/>
    </w:rPr>
  </w:style>
  <w:style w:type="paragraph" w:styleId="ListParagraph">
    <w:name w:val="List Paragraph"/>
    <w:basedOn w:val="Normal"/>
    <w:link w:val="ListParagraphChar"/>
    <w:qFormat/>
    <w:rsid w:val="00672E31"/>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672E31"/>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672E31"/>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E3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672E31"/>
    <w:rPr>
      <w:sz w:val="24"/>
      <w:szCs w:val="24"/>
      <w:lang w:val="vi-VN"/>
    </w:rPr>
  </w:style>
  <w:style w:type="character" w:customStyle="1" w:styleId="ListParagraphChar">
    <w:name w:val="List Paragraph Char"/>
    <w:link w:val="ListParagraph"/>
    <w:rsid w:val="00672E31"/>
    <w:rPr>
      <w:sz w:val="26"/>
    </w:rPr>
  </w:style>
  <w:style w:type="character" w:customStyle="1" w:styleId="st1Char">
    <w:name w:val="st1 Char"/>
    <w:link w:val="st1"/>
    <w:rsid w:val="00672E31"/>
    <w:rPr>
      <w:rFonts w:eastAsia="Times New Roman"/>
      <w:sz w:val="24"/>
      <w:szCs w:val="24"/>
      <w:lang w:val="vi-VN"/>
    </w:rPr>
  </w:style>
  <w:style w:type="paragraph" w:styleId="ListParagraph">
    <w:name w:val="List Paragraph"/>
    <w:basedOn w:val="Normal"/>
    <w:link w:val="ListParagraphChar"/>
    <w:qFormat/>
    <w:rsid w:val="00672E31"/>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672E31"/>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672E31"/>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2023-01-04T04:51:00Z</dcterms:created>
  <dcterms:modified xsi:type="dcterms:W3CDTF">2023-01-04T04:52:00Z</dcterms:modified>
</cp:coreProperties>
</file>